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napToGrid w:val="0"/>
        <w:jc w:val="center"/>
        <w:rPr>
          <w:rFonts w:hint="eastAsia"/>
          <w:b/>
          <w:sz w:val="44"/>
          <w:szCs w:val="44"/>
          <w:lang w:eastAsia="zh-CN"/>
        </w:rPr>
      </w:pPr>
      <w:bookmarkStart w:id="0" w:name="_GoBack"/>
      <w:r>
        <w:rPr>
          <w:rFonts w:hint="eastAsia"/>
          <w:b/>
          <w:sz w:val="44"/>
          <w:szCs w:val="44"/>
        </w:rPr>
        <w:t>物流专业基础实训室建设</w:t>
      </w:r>
      <w:r>
        <w:rPr>
          <w:rFonts w:hint="eastAsia"/>
          <w:b/>
          <w:sz w:val="44"/>
          <w:szCs w:val="44"/>
          <w:lang w:eastAsia="zh-CN"/>
        </w:rPr>
        <w:t>项目相关要求</w:t>
      </w:r>
    </w:p>
    <w:bookmarkEnd w:id="0"/>
    <w:p>
      <w:pPr>
        <w:overflowPunct w:val="0"/>
        <w:autoSpaceDE w:val="0"/>
        <w:autoSpaceDN w:val="0"/>
        <w:adjustRightInd w:val="0"/>
        <w:snapToGrid w:val="0"/>
        <w:jc w:val="center"/>
        <w:rPr>
          <w:rFonts w:hint="eastAsia"/>
          <w:b/>
          <w:sz w:val="44"/>
          <w:szCs w:val="44"/>
          <w:lang w:eastAsia="zh-CN"/>
        </w:rPr>
      </w:pPr>
    </w:p>
    <w:p>
      <w:pPr>
        <w:overflowPunct w:val="0"/>
        <w:autoSpaceDE w:val="0"/>
        <w:autoSpaceDN w:val="0"/>
        <w:adjustRightInd w:val="0"/>
        <w:snapToGrid w:val="0"/>
        <w:spacing w:after="312" w:afterLines="100"/>
        <w:jc w:val="center"/>
        <w:rPr>
          <w:b/>
          <w:sz w:val="32"/>
          <w:szCs w:val="32"/>
        </w:rPr>
      </w:pPr>
      <w:r>
        <w:rPr>
          <w:rFonts w:hint="eastAsia"/>
          <w:b/>
          <w:sz w:val="32"/>
          <w:szCs w:val="32"/>
        </w:rPr>
        <w:t>福建省示范性职业学校现代商贸服务类专业子项目</w:t>
      </w:r>
    </w:p>
    <w:p>
      <w:pPr>
        <w:pStyle w:val="8"/>
        <w:numPr>
          <w:ilvl w:val="0"/>
          <w:numId w:val="1"/>
        </w:numPr>
        <w:overflowPunct w:val="0"/>
        <w:autoSpaceDE w:val="0"/>
        <w:autoSpaceDN w:val="0"/>
        <w:adjustRightInd w:val="0"/>
        <w:snapToGrid w:val="0"/>
        <w:spacing w:after="156" w:afterLines="50"/>
        <w:ind w:firstLineChars="0"/>
        <w:jc w:val="left"/>
        <w:rPr>
          <w:rFonts w:ascii="宋体" w:hAnsi="宋体"/>
          <w:b/>
          <w:sz w:val="24"/>
          <w:szCs w:val="24"/>
        </w:rPr>
      </w:pPr>
      <w:r>
        <w:rPr>
          <w:rFonts w:hint="eastAsia" w:ascii="宋体" w:hAnsi="宋体"/>
          <w:b/>
          <w:sz w:val="24"/>
          <w:szCs w:val="24"/>
        </w:rPr>
        <w:t>物流专业基础实训室建设概述</w:t>
      </w:r>
    </w:p>
    <w:p>
      <w:pPr>
        <w:pStyle w:val="8"/>
        <w:overflowPunct w:val="0"/>
        <w:autoSpaceDE w:val="0"/>
        <w:autoSpaceDN w:val="0"/>
        <w:adjustRightInd w:val="0"/>
        <w:snapToGrid w:val="0"/>
        <w:spacing w:after="156" w:afterLines="50"/>
        <w:ind w:left="-2" w:leftChars="-1" w:firstLine="480"/>
        <w:jc w:val="left"/>
        <w:rPr>
          <w:rFonts w:ascii="宋体" w:hAnsi="宋体"/>
          <w:color w:val="FF0000"/>
          <w:sz w:val="24"/>
          <w:szCs w:val="24"/>
        </w:rPr>
      </w:pPr>
      <w:r>
        <w:rPr>
          <w:rFonts w:hint="eastAsia" w:ascii="宋体" w:hAnsi="宋体"/>
          <w:sz w:val="24"/>
          <w:szCs w:val="24"/>
        </w:rPr>
        <w:t xml:space="preserve"> “物流专业基础实训室”为服务一带一路、中国制造2025等国家战略，推动中职物流专业教学标准的实施与完善，规范教学、提高教学质量、创新人才培养模式，引导中职物流专业的教育教学改革；培养学生在物流中心现场作业、安全及文明生产等方面的职业素养；吸引企业参与，促进校企深度融合，提高中职物流教育的社会认可度，提升培养专业人才的市场匹配度。同时也为福建省中等职业学校物流技能测试提供实训条件。</w:t>
      </w:r>
    </w:p>
    <w:p>
      <w:pPr>
        <w:pStyle w:val="8"/>
        <w:overflowPunct w:val="0"/>
        <w:autoSpaceDE w:val="0"/>
        <w:autoSpaceDN w:val="0"/>
        <w:adjustRightInd w:val="0"/>
        <w:snapToGrid w:val="0"/>
        <w:spacing w:after="156" w:afterLines="50"/>
        <w:ind w:left="0" w:leftChars="-242" w:hanging="508" w:hangingChars="212"/>
        <w:jc w:val="left"/>
        <w:rPr>
          <w:rFonts w:ascii="宋体" w:hAnsi="宋体"/>
          <w:sz w:val="24"/>
          <w:szCs w:val="24"/>
        </w:rPr>
      </w:pPr>
      <w:r>
        <w:rPr>
          <w:rFonts w:hint="eastAsia" w:ascii="宋体" w:hAnsi="宋体"/>
          <w:sz w:val="24"/>
          <w:szCs w:val="24"/>
        </w:rPr>
        <w:t xml:space="preserve">    </w:t>
      </w:r>
      <w:r>
        <w:rPr>
          <w:rFonts w:hint="eastAsia" w:ascii="宋体" w:hAnsi="宋体"/>
          <w:b/>
          <w:sz w:val="24"/>
          <w:szCs w:val="24"/>
        </w:rPr>
        <w:t>二、物流专业基础实训室建设意义</w:t>
      </w:r>
    </w:p>
    <w:p>
      <w:pPr>
        <w:pStyle w:val="8"/>
        <w:overflowPunct w:val="0"/>
        <w:autoSpaceDE w:val="0"/>
        <w:autoSpaceDN w:val="0"/>
        <w:adjustRightInd w:val="0"/>
        <w:snapToGrid w:val="0"/>
        <w:spacing w:after="156" w:afterLines="50"/>
        <w:ind w:left="-2" w:leftChars="-1" w:firstLine="480"/>
        <w:jc w:val="left"/>
        <w:rPr>
          <w:rFonts w:ascii="宋体" w:hAnsi="宋体"/>
          <w:sz w:val="24"/>
          <w:szCs w:val="24"/>
        </w:rPr>
      </w:pPr>
      <w:r>
        <w:rPr>
          <w:rFonts w:hint="eastAsia" w:ascii="宋体" w:hAnsi="宋体"/>
          <w:sz w:val="24"/>
          <w:szCs w:val="24"/>
        </w:rPr>
        <w:t>为贯彻落实《福建省人民政府关于加快发展现代职业教育的若干意见》（闽政〔2015〕46号），根据《福建省人民政府办公厅关于印发加快发展现代职业教育若干意见的实施细则》（闽政办〔2015〕129号）要求，以提高人才培养质量为目标，以深化办学模式、培养模式、教学模式和评价模式改革为重点，以推进工学结合、校企合作、顶岗实习为核心，适应经济发展方式转变、产业调整升级、企业岗位用人和技术进步的需求，厦门信息学校作为在全省范围内重点建设的中等职业教育改革发展示范学校，其在中等职业教育改革发展中发挥引领、骨干和辐射作用。</w:t>
      </w:r>
    </w:p>
    <w:p>
      <w:pPr>
        <w:pStyle w:val="8"/>
        <w:overflowPunct w:val="0"/>
        <w:autoSpaceDE w:val="0"/>
        <w:autoSpaceDN w:val="0"/>
        <w:adjustRightInd w:val="0"/>
        <w:snapToGrid w:val="0"/>
        <w:spacing w:after="156" w:afterLines="50"/>
        <w:ind w:left="-2" w:leftChars="-1" w:firstLine="480"/>
        <w:jc w:val="left"/>
        <w:rPr>
          <w:rFonts w:ascii="宋体" w:hAnsi="宋体"/>
          <w:sz w:val="24"/>
          <w:szCs w:val="24"/>
        </w:rPr>
      </w:pPr>
      <w:r>
        <w:rPr>
          <w:rFonts w:hint="eastAsia" w:ascii="宋体" w:hAnsi="宋体"/>
          <w:sz w:val="24"/>
          <w:szCs w:val="24"/>
        </w:rPr>
        <w:t>物流专业是福建省示范性职业学校现代商贸服务类下的一个专业，建设物流专业基础实训室能为物流专业的学生提供一个模拟实操的环境，提高学生的动手实操能力。同时也为福建省中等职业学校物流技能测试提供实训条件。</w:t>
      </w:r>
    </w:p>
    <w:p>
      <w:pPr>
        <w:pStyle w:val="8"/>
        <w:overflowPunct w:val="0"/>
        <w:autoSpaceDE w:val="0"/>
        <w:autoSpaceDN w:val="0"/>
        <w:adjustRightInd w:val="0"/>
        <w:snapToGrid w:val="0"/>
        <w:spacing w:before="156" w:beforeLines="50" w:after="156" w:afterLines="50"/>
        <w:ind w:left="-2" w:leftChars="-1" w:firstLine="0" w:firstLineChars="0"/>
        <w:jc w:val="left"/>
        <w:rPr>
          <w:rFonts w:ascii="宋体" w:hAnsi="宋体"/>
          <w:b/>
          <w:sz w:val="24"/>
        </w:rPr>
      </w:pPr>
      <w:r>
        <w:rPr>
          <w:rFonts w:hint="eastAsia" w:ascii="宋体" w:hAnsi="宋体"/>
          <w:sz w:val="24"/>
        </w:rPr>
        <w:t>三、</w:t>
      </w:r>
      <w:r>
        <w:rPr>
          <w:rFonts w:hint="eastAsia" w:ascii="宋体" w:hAnsi="宋体"/>
          <w:b/>
          <w:sz w:val="24"/>
          <w:szCs w:val="24"/>
        </w:rPr>
        <w:t>物流专业基础实训室</w:t>
      </w:r>
      <w:r>
        <w:rPr>
          <w:rFonts w:hint="eastAsia" w:ascii="宋体" w:hAnsi="宋体"/>
          <w:b/>
          <w:sz w:val="24"/>
        </w:rPr>
        <w:t>的应用价值</w:t>
      </w:r>
    </w:p>
    <w:p>
      <w:pPr>
        <w:pStyle w:val="8"/>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sz w:val="24"/>
          <w:szCs w:val="24"/>
        </w:rPr>
        <w:t xml:space="preserve"> 1.对接产业发展要求，服务就业和可持续发展</w:t>
      </w:r>
    </w:p>
    <w:p>
      <w:pPr>
        <w:pStyle w:val="8"/>
        <w:overflowPunct w:val="0"/>
        <w:autoSpaceDE w:val="0"/>
        <w:autoSpaceDN w:val="0"/>
        <w:adjustRightInd w:val="0"/>
        <w:snapToGrid w:val="0"/>
        <w:spacing w:after="156" w:afterLines="50"/>
        <w:ind w:firstLine="480"/>
        <w:jc w:val="left"/>
        <w:rPr>
          <w:rFonts w:ascii="宋体" w:hAnsi="宋体"/>
          <w:sz w:val="24"/>
          <w:szCs w:val="24"/>
        </w:rPr>
      </w:pPr>
      <w:r>
        <w:rPr>
          <w:rFonts w:hint="eastAsia" w:ascii="宋体" w:hAnsi="宋体"/>
          <w:sz w:val="24"/>
          <w:szCs w:val="24"/>
        </w:rPr>
        <w:t>现代物流综合教育以仓储、配送、运输等物流最基础的业务为基础，融入产业发展新技术、新流程、新规范的要求；体现职业道德、工匠精神、创新精神、质量意识、安全意识、环保意识等职业素养要求；强调分析解决问题能力、信息技术应用能力、沟通表达能力、团队合作能力等岗位需求，服务学生就业和可持续发展。</w:t>
      </w:r>
    </w:p>
    <w:p>
      <w:pPr>
        <w:pStyle w:val="8"/>
        <w:numPr>
          <w:ilvl w:val="0"/>
          <w:numId w:val="2"/>
        </w:numPr>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sz w:val="24"/>
          <w:szCs w:val="24"/>
        </w:rPr>
        <w:t>服务专业建设需要，引领教学改革与专业发展</w:t>
      </w:r>
    </w:p>
    <w:p>
      <w:pPr>
        <w:pStyle w:val="8"/>
        <w:overflowPunct w:val="0"/>
        <w:autoSpaceDE w:val="0"/>
        <w:autoSpaceDN w:val="0"/>
        <w:adjustRightInd w:val="0"/>
        <w:snapToGrid w:val="0"/>
        <w:spacing w:after="156" w:afterLines="50"/>
        <w:ind w:firstLine="480"/>
        <w:jc w:val="left"/>
        <w:rPr>
          <w:rFonts w:ascii="宋体" w:hAnsi="宋体"/>
          <w:sz w:val="24"/>
          <w:szCs w:val="24"/>
        </w:rPr>
      </w:pPr>
      <w:r>
        <w:rPr>
          <w:rFonts w:ascii="宋体" w:hAnsi="宋体"/>
          <w:sz w:val="24"/>
          <w:szCs w:val="24"/>
        </w:rPr>
        <w:t>教学内容以《中等职业学校物流服务与管理专业教学标准》为依据，结合中职物流专业目录调整的最新要求，将中职物流专业的培养目标、就业面向、职业素质与能力要求、专业教学主要内容充分融合其中。教学内容流程以物流专业日常实训相结合，真正实现赛教融合。</w:t>
      </w:r>
    </w:p>
    <w:p>
      <w:pPr>
        <w:pStyle w:val="8"/>
        <w:numPr>
          <w:ilvl w:val="0"/>
          <w:numId w:val="2"/>
        </w:numPr>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sz w:val="24"/>
          <w:szCs w:val="24"/>
        </w:rPr>
        <w:t>科学设计流程，充分对接企业流程与岗位要求</w:t>
      </w:r>
    </w:p>
    <w:p>
      <w:pPr>
        <w:pStyle w:val="8"/>
        <w:overflowPunct w:val="0"/>
        <w:autoSpaceDE w:val="0"/>
        <w:autoSpaceDN w:val="0"/>
        <w:adjustRightInd w:val="0"/>
        <w:snapToGrid w:val="0"/>
        <w:spacing w:after="156" w:afterLines="50"/>
        <w:ind w:firstLine="480"/>
        <w:jc w:val="left"/>
        <w:rPr>
          <w:rFonts w:hint="eastAsia" w:ascii="宋体" w:hAnsi="宋体"/>
          <w:sz w:val="24"/>
          <w:szCs w:val="24"/>
        </w:rPr>
      </w:pPr>
      <w:r>
        <w:rPr>
          <w:rFonts w:ascii="宋体" w:hAnsi="宋体"/>
          <w:sz w:val="24"/>
          <w:szCs w:val="24"/>
        </w:rPr>
        <w:t>教学设计以企业运营场景为基础，实操流程与企业工作流程相一致，并充分考虑教学与实际企业的需求。内容和考核点基于物流企业岗位以及岗位的核心工作内容与要求进行设计，实操过程中采用分工教学与岗位要求一致。</w:t>
      </w:r>
    </w:p>
    <w:p>
      <w:pPr>
        <w:pStyle w:val="8"/>
        <w:overflowPunct w:val="0"/>
        <w:autoSpaceDE w:val="0"/>
        <w:autoSpaceDN w:val="0"/>
        <w:adjustRightInd w:val="0"/>
        <w:snapToGrid w:val="0"/>
        <w:spacing w:after="156" w:afterLines="50"/>
        <w:ind w:firstLine="480"/>
        <w:jc w:val="left"/>
        <w:rPr>
          <w:rFonts w:ascii="宋体" w:hAnsi="宋体"/>
          <w:sz w:val="24"/>
          <w:szCs w:val="24"/>
        </w:rPr>
      </w:pPr>
      <w:r>
        <w:rPr>
          <w:rFonts w:hint="eastAsia" w:ascii="宋体" w:hAnsi="宋体"/>
          <w:sz w:val="24"/>
          <w:szCs w:val="24"/>
        </w:rPr>
        <w:t>4．为福建省中等职业学校物流技能测试提供实训条件。</w:t>
      </w:r>
    </w:p>
    <w:p>
      <w:pPr>
        <w:pStyle w:val="8"/>
        <w:overflowPunct w:val="0"/>
        <w:autoSpaceDE w:val="0"/>
        <w:autoSpaceDN w:val="0"/>
        <w:adjustRightInd w:val="0"/>
        <w:snapToGrid w:val="0"/>
        <w:spacing w:before="312" w:beforeLines="100" w:after="156" w:afterLines="50"/>
        <w:ind w:left="-2" w:leftChars="-1" w:firstLine="0" w:firstLineChars="0"/>
        <w:jc w:val="left"/>
        <w:rPr>
          <w:rFonts w:ascii="宋体" w:hAnsi="宋体"/>
          <w:b/>
          <w:sz w:val="24"/>
          <w:szCs w:val="24"/>
        </w:rPr>
      </w:pPr>
      <w:r>
        <w:rPr>
          <w:rFonts w:hint="eastAsia" w:ascii="宋体" w:hAnsi="宋体"/>
          <w:b/>
          <w:sz w:val="24"/>
          <w:szCs w:val="24"/>
        </w:rPr>
        <w:t>四、物流专业基础实训室</w:t>
      </w:r>
      <w:r>
        <w:rPr>
          <w:rFonts w:hint="eastAsia" w:ascii="宋体" w:hAnsi="宋体"/>
          <w:b/>
          <w:sz w:val="24"/>
        </w:rPr>
        <w:t>的</w:t>
      </w:r>
      <w:r>
        <w:rPr>
          <w:rFonts w:hint="eastAsia" w:ascii="宋体" w:hAnsi="宋体"/>
          <w:b/>
          <w:sz w:val="24"/>
          <w:szCs w:val="24"/>
        </w:rPr>
        <w:t>物理环境建设办法</w:t>
      </w:r>
    </w:p>
    <w:p>
      <w:pPr>
        <w:pStyle w:val="8"/>
        <w:overflowPunct w:val="0"/>
        <w:autoSpaceDE w:val="0"/>
        <w:autoSpaceDN w:val="0"/>
        <w:adjustRightInd w:val="0"/>
        <w:snapToGrid w:val="0"/>
        <w:spacing w:after="156" w:afterLines="50"/>
        <w:ind w:firstLine="480"/>
        <w:jc w:val="left"/>
        <w:rPr>
          <w:rFonts w:ascii="宋体" w:hAnsi="宋体"/>
          <w:sz w:val="24"/>
          <w:szCs w:val="24"/>
        </w:rPr>
      </w:pPr>
      <w:r>
        <w:rPr>
          <w:rFonts w:hint="eastAsia" w:ascii="宋体" w:hAnsi="宋体"/>
          <w:sz w:val="24"/>
          <w:szCs w:val="24"/>
        </w:rPr>
        <w:t>物流专业基础实训室由多个场地组成，实际需要实训场地面积共240平方米，以此满足24名学生同时进行实训操作。</w:t>
      </w:r>
    </w:p>
    <w:p>
      <w:pPr>
        <w:pStyle w:val="8"/>
        <w:overflowPunct w:val="0"/>
        <w:autoSpaceDE w:val="0"/>
        <w:autoSpaceDN w:val="0"/>
        <w:adjustRightInd w:val="0"/>
        <w:snapToGrid w:val="0"/>
        <w:spacing w:after="156" w:afterLines="50"/>
        <w:ind w:left="420" w:leftChars="200" w:firstLine="0" w:firstLineChars="0"/>
        <w:jc w:val="left"/>
        <w:rPr>
          <w:rFonts w:ascii="宋体" w:hAnsi="宋体"/>
          <w:sz w:val="24"/>
          <w:szCs w:val="24"/>
        </w:rPr>
      </w:pPr>
      <w:r>
        <w:drawing>
          <wp:inline distT="0" distB="0" distL="114300" distR="114300">
            <wp:extent cx="5514340" cy="3401060"/>
            <wp:effectExtent l="0" t="0" r="1016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514340" cy="3401060"/>
                    </a:xfrm>
                    <a:prstGeom prst="rect">
                      <a:avLst/>
                    </a:prstGeom>
                    <a:noFill/>
                    <a:ln>
                      <a:noFill/>
                    </a:ln>
                  </pic:spPr>
                </pic:pic>
              </a:graphicData>
            </a:graphic>
          </wp:inline>
        </w:drawing>
      </w:r>
    </w:p>
    <w:p>
      <w:pPr>
        <w:pStyle w:val="8"/>
        <w:overflowPunct w:val="0"/>
        <w:autoSpaceDE w:val="0"/>
        <w:autoSpaceDN w:val="0"/>
        <w:adjustRightInd w:val="0"/>
        <w:snapToGrid w:val="0"/>
        <w:spacing w:after="156" w:afterLines="50"/>
        <w:ind w:left="420" w:leftChars="200" w:firstLine="0" w:firstLineChars="0"/>
        <w:jc w:val="center"/>
        <w:rPr>
          <w:rFonts w:ascii="宋体" w:hAnsi="宋体"/>
          <w:sz w:val="24"/>
          <w:szCs w:val="24"/>
        </w:rPr>
      </w:pPr>
      <w:r>
        <w:rPr>
          <w:rFonts w:hint="eastAsia" w:ascii="宋体" w:hAnsi="宋体"/>
          <w:sz w:val="24"/>
          <w:szCs w:val="24"/>
        </w:rPr>
        <w:t>（单个实训场地布局参考图）</w:t>
      </w:r>
    </w:p>
    <w:p>
      <w:pPr>
        <w:numPr>
          <w:ilvl w:val="0"/>
          <w:numId w:val="3"/>
        </w:numPr>
        <w:rPr>
          <w:rFonts w:ascii="宋体" w:hAnsi="宋体"/>
          <w:b/>
          <w:sz w:val="24"/>
          <w:szCs w:val="24"/>
        </w:rPr>
      </w:pPr>
      <w:r>
        <w:rPr>
          <w:rFonts w:hint="eastAsia" w:ascii="宋体" w:hAnsi="宋体"/>
          <w:b/>
          <w:sz w:val="24"/>
          <w:szCs w:val="24"/>
        </w:rPr>
        <w:t>项目建设内容及经费需求</w:t>
      </w:r>
    </w:p>
    <w:p>
      <w:pPr>
        <w:rPr>
          <w:rFonts w:ascii="宋体" w:hAnsi="宋体"/>
          <w:b/>
          <w:sz w:val="24"/>
          <w:szCs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498"/>
        <w:gridCol w:w="4626"/>
        <w:gridCol w:w="498"/>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vAlign w:val="center"/>
          </w:tcPr>
          <w:p>
            <w:pPr>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序号</w:t>
            </w:r>
          </w:p>
        </w:tc>
        <w:tc>
          <w:tcPr>
            <w:tcW w:w="490" w:type="dxa"/>
            <w:vAlign w:val="center"/>
          </w:tcPr>
          <w:p>
            <w:pPr>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设备名称</w:t>
            </w:r>
          </w:p>
        </w:tc>
        <w:tc>
          <w:tcPr>
            <w:tcW w:w="4500" w:type="dxa"/>
            <w:vAlign w:val="center"/>
          </w:tcPr>
          <w:p>
            <w:pPr>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设备参数</w:t>
            </w:r>
          </w:p>
        </w:tc>
        <w:tc>
          <w:tcPr>
            <w:tcW w:w="490" w:type="dxa"/>
            <w:vAlign w:val="center"/>
          </w:tcPr>
          <w:p>
            <w:pPr>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单位</w:t>
            </w:r>
          </w:p>
        </w:tc>
        <w:tc>
          <w:tcPr>
            <w:tcW w:w="624" w:type="dxa"/>
            <w:vAlign w:val="center"/>
          </w:tcPr>
          <w:p>
            <w:pPr>
              <w:jc w:val="center"/>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w:t>
            </w:r>
          </w:p>
        </w:tc>
        <w:tc>
          <w:tcPr>
            <w:tcW w:w="490" w:type="dxa"/>
            <w:vAlign w:val="center"/>
          </w:tcPr>
          <w:p>
            <w:pPr>
              <w:rPr>
                <w:rFonts w:asciiTheme="minorEastAsia" w:hAnsiTheme="minorEastAsia" w:cstheme="minorEastAsia"/>
                <w:kern w:val="0"/>
                <w:sz w:val="28"/>
                <w:szCs w:val="28"/>
              </w:rPr>
            </w:pPr>
            <w:r>
              <w:rPr>
                <w:rFonts w:asciiTheme="minorEastAsia" w:hAnsiTheme="minorEastAsia" w:cstheme="minorEastAsia"/>
                <w:kern w:val="0"/>
                <w:sz w:val="28"/>
                <w:szCs w:val="28"/>
              </w:rPr>
              <w:t>托盘货架</w:t>
            </w:r>
          </w:p>
        </w:tc>
        <w:tc>
          <w:tcPr>
            <w:tcW w:w="4500" w:type="dxa"/>
          </w:tcPr>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冷轧钢构，货架经过酸洗、磷化处理，表面处理方式为静电喷塑；立柱颜色建议采用宝蓝色，横梁建议采用亮橘红色；</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适用的托盘尺寸：1200×1000×160mm左右；</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货架立柱≥80mm，层高1100mm左右，组合式可拆装，每组外尺寸2480*1000*2500mm</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自重50kg，立柱60*80*1.5mm，横梁50*100*1.5mm</w:t>
            </w:r>
          </w:p>
          <w:p>
            <w:pPr>
              <w:jc w:val="left"/>
              <w:rPr>
                <w:rFonts w:asciiTheme="minorEastAsia" w:hAnsiTheme="minorEastAsia" w:cstheme="minorEastAsia"/>
                <w:kern w:val="0"/>
                <w:sz w:val="28"/>
                <w:szCs w:val="28"/>
              </w:rPr>
            </w:pPr>
            <w:r>
              <w:rPr>
                <w:rFonts w:ascii="Times New Roman" w:hAnsi="Times New Roman"/>
              </w:rPr>
              <w:drawing>
                <wp:inline distT="0" distB="0" distL="114300" distR="114300">
                  <wp:extent cx="2739390" cy="1967230"/>
                  <wp:effectExtent l="0" t="0" r="3810" b="1397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739390" cy="1967230"/>
                          </a:xfrm>
                          <a:prstGeom prst="rect">
                            <a:avLst/>
                          </a:prstGeom>
                          <a:noFill/>
                          <a:ln>
                            <a:noFill/>
                          </a:ln>
                        </pic:spPr>
                      </pic:pic>
                    </a:graphicData>
                  </a:graphic>
                </wp:inline>
              </w:drawing>
            </w:r>
          </w:p>
        </w:tc>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组</w:t>
            </w:r>
          </w:p>
        </w:tc>
        <w:tc>
          <w:tcPr>
            <w:tcW w:w="624"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2</w:t>
            </w:r>
          </w:p>
        </w:tc>
        <w:tc>
          <w:tcPr>
            <w:tcW w:w="490" w:type="dxa"/>
            <w:vAlign w:val="center"/>
          </w:tcPr>
          <w:p>
            <w:pPr>
              <w:rPr>
                <w:rFonts w:asciiTheme="minorEastAsia" w:hAnsiTheme="minorEastAsia" w:cstheme="minorEastAsia"/>
                <w:kern w:val="0"/>
                <w:sz w:val="28"/>
                <w:szCs w:val="28"/>
              </w:rPr>
            </w:pPr>
            <w:r>
              <w:rPr>
                <w:rFonts w:hint="eastAsia" w:asciiTheme="minorEastAsia" w:hAnsiTheme="minorEastAsia" w:cstheme="minorEastAsia"/>
                <w:kern w:val="0"/>
                <w:sz w:val="28"/>
                <w:szCs w:val="28"/>
              </w:rPr>
              <w:t>手动液压托盘车</w:t>
            </w:r>
          </w:p>
        </w:tc>
        <w:tc>
          <w:tcPr>
            <w:tcW w:w="4500" w:type="dxa"/>
          </w:tcPr>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额定负载：2000kg</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货叉最低高度：85 mm</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货叉最高高度：200 mm</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货叉总宽：540mm</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转向轮：Ф180*50mm</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承重轮 双轮：Ф82*70mm</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货叉尺寸：160*50 mm</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货叉长度：1150mm</w:t>
            </w:r>
          </w:p>
          <w:p>
            <w:pPr>
              <w:jc w:val="left"/>
              <w:rPr>
                <w:rFonts w:asciiTheme="minorEastAsia" w:hAnsiTheme="minorEastAsia" w:cstheme="minorEastAsia"/>
                <w:kern w:val="0"/>
                <w:sz w:val="28"/>
                <w:szCs w:val="28"/>
              </w:rPr>
            </w:pPr>
            <w:r>
              <w:rPr>
                <w:rFonts w:ascii="Times New Roman" w:hAnsi="Times New Roman"/>
              </w:rPr>
              <w:drawing>
                <wp:inline distT="0" distB="0" distL="114300" distR="114300">
                  <wp:extent cx="1807210" cy="1755140"/>
                  <wp:effectExtent l="0" t="0" r="2540"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1807210" cy="1755140"/>
                          </a:xfrm>
                          <a:prstGeom prst="rect">
                            <a:avLst/>
                          </a:prstGeom>
                          <a:noFill/>
                          <a:ln>
                            <a:noFill/>
                          </a:ln>
                        </pic:spPr>
                      </pic:pic>
                    </a:graphicData>
                  </a:graphic>
                </wp:inline>
              </w:drawing>
            </w:r>
          </w:p>
        </w:tc>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辆</w:t>
            </w:r>
          </w:p>
        </w:tc>
        <w:tc>
          <w:tcPr>
            <w:tcW w:w="624"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3</w:t>
            </w:r>
          </w:p>
        </w:tc>
        <w:tc>
          <w:tcPr>
            <w:tcW w:w="490" w:type="dxa"/>
            <w:vAlign w:val="center"/>
          </w:tcPr>
          <w:p>
            <w:pPr>
              <w:rPr>
                <w:rFonts w:asciiTheme="minorEastAsia" w:hAnsiTheme="minorEastAsia" w:cstheme="minorEastAsia"/>
                <w:kern w:val="0"/>
                <w:sz w:val="28"/>
                <w:szCs w:val="28"/>
              </w:rPr>
            </w:pPr>
            <w:r>
              <w:rPr>
                <w:rFonts w:hint="eastAsia" w:asciiTheme="minorEastAsia" w:hAnsiTheme="minorEastAsia" w:cstheme="minorEastAsia"/>
                <w:kern w:val="0"/>
                <w:sz w:val="28"/>
                <w:szCs w:val="28"/>
              </w:rPr>
              <w:t>木制托盘</w:t>
            </w:r>
          </w:p>
        </w:tc>
        <w:tc>
          <w:tcPr>
            <w:tcW w:w="4500" w:type="dxa"/>
          </w:tcPr>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标准1200mm*1000mm*150mm木制托盘，松木拼接。</w:t>
            </w:r>
          </w:p>
          <w:p>
            <w:pPr>
              <w:jc w:val="left"/>
              <w:rPr>
                <w:rFonts w:asciiTheme="minorEastAsia" w:hAnsiTheme="minorEastAsia" w:cstheme="minorEastAsia"/>
                <w:kern w:val="0"/>
                <w:sz w:val="28"/>
                <w:szCs w:val="28"/>
              </w:rPr>
            </w:pPr>
            <w:r>
              <w:rPr>
                <w:rFonts w:ascii="Times New Roman" w:hAnsi="Times New Roman"/>
              </w:rPr>
              <w:drawing>
                <wp:inline distT="0" distB="0" distL="114300" distR="114300">
                  <wp:extent cx="2792730" cy="1497330"/>
                  <wp:effectExtent l="0" t="0" r="7620" b="762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2792730" cy="1497330"/>
                          </a:xfrm>
                          <a:prstGeom prst="rect">
                            <a:avLst/>
                          </a:prstGeom>
                          <a:noFill/>
                          <a:ln>
                            <a:noFill/>
                          </a:ln>
                        </pic:spPr>
                      </pic:pic>
                    </a:graphicData>
                  </a:graphic>
                </wp:inline>
              </w:drawing>
            </w:r>
          </w:p>
        </w:tc>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个</w:t>
            </w:r>
          </w:p>
        </w:tc>
        <w:tc>
          <w:tcPr>
            <w:tcW w:w="624"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4</w:t>
            </w:r>
          </w:p>
        </w:tc>
        <w:tc>
          <w:tcPr>
            <w:tcW w:w="490" w:type="dxa"/>
            <w:vAlign w:val="center"/>
          </w:tcPr>
          <w:p>
            <w:pPr>
              <w:rPr>
                <w:rFonts w:asciiTheme="minorEastAsia" w:hAnsiTheme="minorEastAsia" w:cstheme="minorEastAsia"/>
                <w:kern w:val="0"/>
                <w:sz w:val="28"/>
                <w:szCs w:val="28"/>
              </w:rPr>
            </w:pPr>
            <w:r>
              <w:rPr>
                <w:rFonts w:hint="eastAsia" w:asciiTheme="minorEastAsia" w:hAnsiTheme="minorEastAsia" w:cstheme="minorEastAsia"/>
                <w:kern w:val="0"/>
                <w:sz w:val="28"/>
                <w:szCs w:val="28"/>
              </w:rPr>
              <w:t>纸箱</w:t>
            </w:r>
          </w:p>
        </w:tc>
        <w:tc>
          <w:tcPr>
            <w:tcW w:w="4500" w:type="dxa"/>
          </w:tcPr>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外径1：190mm*370mm*270mm，50个</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外径2：285mm*380mm*270mm，35个</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外径3：320mm*480mm*200mm，30个</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外径4：380mm*570mm*220mm，20个</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外径5：350mm*350mm*245mm，20个</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外径6：380mm*480mm*220mm，20个</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外径7：300mm*580mm*200mm，20个</w:t>
            </w:r>
          </w:p>
          <w:p>
            <w:pPr>
              <w:jc w:val="left"/>
              <w:rPr>
                <w:rFonts w:asciiTheme="minorEastAsia" w:hAnsiTheme="minorEastAsia" w:cstheme="minorEastAsia"/>
                <w:kern w:val="0"/>
                <w:sz w:val="28"/>
                <w:szCs w:val="28"/>
              </w:rPr>
            </w:pPr>
            <w:r>
              <w:rPr>
                <w:rFonts w:ascii="Times New Roman" w:hAnsi="Times New Roman"/>
              </w:rPr>
              <w:drawing>
                <wp:inline distT="0" distB="0" distL="114300" distR="114300">
                  <wp:extent cx="2767330" cy="2400300"/>
                  <wp:effectExtent l="0" t="0" r="1397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2767330" cy="2400300"/>
                          </a:xfrm>
                          <a:prstGeom prst="rect">
                            <a:avLst/>
                          </a:prstGeom>
                          <a:noFill/>
                          <a:ln>
                            <a:noFill/>
                          </a:ln>
                        </pic:spPr>
                      </pic:pic>
                    </a:graphicData>
                  </a:graphic>
                </wp:inline>
              </w:drawing>
            </w:r>
          </w:p>
        </w:tc>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批</w:t>
            </w:r>
          </w:p>
        </w:tc>
        <w:tc>
          <w:tcPr>
            <w:tcW w:w="624"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5</w:t>
            </w:r>
          </w:p>
        </w:tc>
        <w:tc>
          <w:tcPr>
            <w:tcW w:w="490" w:type="dxa"/>
            <w:vAlign w:val="center"/>
          </w:tcPr>
          <w:p>
            <w:pPr>
              <w:rPr>
                <w:rFonts w:asciiTheme="minorEastAsia" w:hAnsiTheme="minorEastAsia" w:cstheme="minorEastAsia"/>
                <w:kern w:val="0"/>
                <w:sz w:val="28"/>
                <w:szCs w:val="28"/>
              </w:rPr>
            </w:pPr>
            <w:r>
              <w:rPr>
                <w:rFonts w:hint="eastAsia" w:asciiTheme="minorEastAsia" w:hAnsiTheme="minorEastAsia" w:cstheme="minorEastAsia"/>
                <w:kern w:val="0"/>
                <w:sz w:val="28"/>
                <w:szCs w:val="28"/>
              </w:rPr>
              <w:t>边线杆</w:t>
            </w:r>
          </w:p>
        </w:tc>
        <w:tc>
          <w:tcPr>
            <w:tcW w:w="4500" w:type="dxa"/>
          </w:tcPr>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铁制，底座直径不少于75mm，高度50cm</w:t>
            </w:r>
          </w:p>
          <w:p>
            <w:pPr>
              <w:jc w:val="left"/>
              <w:rPr>
                <w:rFonts w:asciiTheme="minorEastAsia" w:hAnsiTheme="minorEastAsia" w:cstheme="minorEastAsia"/>
                <w:kern w:val="0"/>
                <w:sz w:val="28"/>
                <w:szCs w:val="28"/>
              </w:rPr>
            </w:pPr>
            <w:r>
              <w:rPr>
                <w:rFonts w:ascii="Times New Roman" w:hAnsi="Times New Roman"/>
              </w:rPr>
              <w:drawing>
                <wp:inline distT="0" distB="0" distL="114300" distR="114300">
                  <wp:extent cx="967105" cy="2263140"/>
                  <wp:effectExtent l="0" t="0" r="4445" b="381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967105" cy="2263140"/>
                          </a:xfrm>
                          <a:prstGeom prst="rect">
                            <a:avLst/>
                          </a:prstGeom>
                          <a:noFill/>
                          <a:ln>
                            <a:noFill/>
                          </a:ln>
                        </pic:spPr>
                      </pic:pic>
                    </a:graphicData>
                  </a:graphic>
                </wp:inline>
              </w:drawing>
            </w:r>
          </w:p>
        </w:tc>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个</w:t>
            </w:r>
          </w:p>
        </w:tc>
        <w:tc>
          <w:tcPr>
            <w:tcW w:w="624"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6</w:t>
            </w:r>
          </w:p>
        </w:tc>
        <w:tc>
          <w:tcPr>
            <w:tcW w:w="490" w:type="dxa"/>
            <w:vAlign w:val="center"/>
          </w:tcPr>
          <w:p>
            <w:pPr>
              <w:rPr>
                <w:rFonts w:asciiTheme="minorEastAsia" w:hAnsiTheme="minorEastAsia" w:cstheme="minorEastAsia"/>
                <w:kern w:val="0"/>
                <w:sz w:val="28"/>
                <w:szCs w:val="28"/>
              </w:rPr>
            </w:pPr>
            <w:r>
              <w:rPr>
                <w:rFonts w:hint="eastAsia" w:asciiTheme="minorEastAsia" w:hAnsiTheme="minorEastAsia" w:cstheme="minorEastAsia"/>
                <w:kern w:val="0"/>
                <w:sz w:val="28"/>
                <w:szCs w:val="28"/>
              </w:rPr>
              <w:t>场地布置</w:t>
            </w:r>
          </w:p>
        </w:tc>
        <w:tc>
          <w:tcPr>
            <w:tcW w:w="4500" w:type="dxa"/>
          </w:tcPr>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使用斑马胶带对现场所有场地进行区域划分及其他布置作业</w:t>
            </w:r>
          </w:p>
        </w:tc>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批</w:t>
            </w:r>
          </w:p>
        </w:tc>
        <w:tc>
          <w:tcPr>
            <w:tcW w:w="624"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7</w:t>
            </w:r>
          </w:p>
        </w:tc>
        <w:tc>
          <w:tcPr>
            <w:tcW w:w="490" w:type="dxa"/>
            <w:vAlign w:val="center"/>
          </w:tcPr>
          <w:p>
            <w:pPr>
              <w:rPr>
                <w:rFonts w:asciiTheme="minorEastAsia" w:hAnsiTheme="minorEastAsia" w:cstheme="minorEastAsia"/>
                <w:kern w:val="0"/>
                <w:sz w:val="28"/>
                <w:szCs w:val="28"/>
              </w:rPr>
            </w:pPr>
            <w:r>
              <w:rPr>
                <w:rFonts w:hint="eastAsia" w:asciiTheme="minorEastAsia" w:hAnsiTheme="minorEastAsia" w:cstheme="minorEastAsia"/>
                <w:kern w:val="0"/>
                <w:sz w:val="28"/>
                <w:szCs w:val="28"/>
              </w:rPr>
              <w:t>教学服务</w:t>
            </w:r>
          </w:p>
        </w:tc>
        <w:tc>
          <w:tcPr>
            <w:tcW w:w="4500" w:type="dxa"/>
          </w:tcPr>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提供2课时代课教学服务，为确保教学质量，需提供培训者的教师资格证。</w:t>
            </w:r>
          </w:p>
          <w:p>
            <w:pPr>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培训内容应包括：入库堆码、出库拣货、手动液压托盘车设备使用规范</w:t>
            </w:r>
          </w:p>
        </w:tc>
        <w:tc>
          <w:tcPr>
            <w:tcW w:w="490"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w:t>
            </w:r>
          </w:p>
        </w:tc>
        <w:tc>
          <w:tcPr>
            <w:tcW w:w="624" w:type="dxa"/>
            <w:vAlign w:val="center"/>
          </w:tcPr>
          <w:p>
            <w:pPr>
              <w:jc w:val="center"/>
              <w:rPr>
                <w:rFonts w:asciiTheme="minorEastAsia" w:hAnsiTheme="minorEastAsia" w:cstheme="minorEastAsia"/>
                <w:kern w:val="0"/>
                <w:sz w:val="28"/>
                <w:szCs w:val="28"/>
              </w:rPr>
            </w:pPr>
            <w:r>
              <w:rPr>
                <w:rFonts w:hint="eastAsia" w:asciiTheme="minorEastAsia" w:hAnsiTheme="minorEastAsia" w:cstheme="minor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94" w:type="dxa"/>
            <w:gridSpan w:val="5"/>
            <w:vAlign w:val="center"/>
          </w:tcPr>
          <w:p>
            <w:pPr>
              <w:jc w:val="center"/>
              <w:rPr>
                <w:rFonts w:asciiTheme="minorEastAsia" w:hAnsiTheme="minorEastAsia" w:cstheme="minorEastAsia"/>
                <w:kern w:val="0"/>
                <w:sz w:val="28"/>
                <w:szCs w:val="28"/>
              </w:rPr>
            </w:pPr>
          </w:p>
        </w:tc>
      </w:tr>
    </w:tbl>
    <w:p>
      <w:pPr>
        <w:rPr>
          <w:rFonts w:ascii="黑体" w:hAnsi="黑体" w:eastAsia="黑体" w:cs="黑体"/>
          <w:b/>
          <w:bCs/>
          <w:sz w:val="44"/>
          <w:szCs w:val="44"/>
        </w:rPr>
      </w:pPr>
    </w:p>
    <w:p>
      <w:pPr>
        <w:pStyle w:val="8"/>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b/>
          <w:sz w:val="24"/>
          <w:szCs w:val="24"/>
        </w:rPr>
        <w:t>六、项目验收标准</w:t>
      </w:r>
    </w:p>
    <w:p>
      <w:pPr>
        <w:pStyle w:val="8"/>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sz w:val="24"/>
          <w:szCs w:val="24"/>
        </w:rPr>
        <w:t>1.所提供设备符合参数要求，质量合格；</w:t>
      </w:r>
    </w:p>
    <w:p>
      <w:pPr>
        <w:pStyle w:val="8"/>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sz w:val="24"/>
          <w:szCs w:val="24"/>
        </w:rPr>
        <w:t>2.培训教学服务是否满足课时要求；</w:t>
      </w:r>
    </w:p>
    <w:p>
      <w:pPr>
        <w:pStyle w:val="8"/>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sz w:val="24"/>
          <w:szCs w:val="24"/>
        </w:rPr>
        <w:t>3.培训内容是否对设备使用，实训内容的要求、规范、流程进行完整的培训；</w:t>
      </w:r>
    </w:p>
    <w:p>
      <w:pPr>
        <w:pStyle w:val="8"/>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sz w:val="24"/>
          <w:szCs w:val="24"/>
        </w:rPr>
        <w:t>4. 符合福建省中等职业学校物流技能测试条件要求</w:t>
      </w:r>
    </w:p>
    <w:p>
      <w:pPr>
        <w:pStyle w:val="8"/>
        <w:overflowPunct w:val="0"/>
        <w:autoSpaceDE w:val="0"/>
        <w:autoSpaceDN w:val="0"/>
        <w:adjustRightInd w:val="0"/>
        <w:snapToGrid w:val="0"/>
        <w:spacing w:after="156" w:afterLines="50"/>
        <w:ind w:firstLine="0" w:firstLineChars="0"/>
        <w:jc w:val="left"/>
        <w:rPr>
          <w:rFonts w:ascii="宋体" w:hAnsi="宋体"/>
          <w:b/>
          <w:sz w:val="24"/>
          <w:szCs w:val="24"/>
        </w:rPr>
      </w:pPr>
      <w:r>
        <w:rPr>
          <w:rFonts w:hint="eastAsia" w:ascii="宋体" w:hAnsi="宋体"/>
          <w:b/>
          <w:sz w:val="24"/>
          <w:szCs w:val="24"/>
        </w:rPr>
        <w:t>七、项目付款</w:t>
      </w:r>
    </w:p>
    <w:p>
      <w:pPr>
        <w:pStyle w:val="8"/>
        <w:overflowPunct w:val="0"/>
        <w:autoSpaceDE w:val="0"/>
        <w:autoSpaceDN w:val="0"/>
        <w:adjustRightInd w:val="0"/>
        <w:snapToGrid w:val="0"/>
        <w:spacing w:after="156" w:afterLines="50"/>
        <w:ind w:firstLine="0" w:firstLineChars="0"/>
        <w:jc w:val="left"/>
        <w:rPr>
          <w:rFonts w:ascii="宋体" w:hAnsi="宋体"/>
          <w:sz w:val="24"/>
          <w:szCs w:val="24"/>
        </w:rPr>
      </w:pPr>
      <w:r>
        <w:rPr>
          <w:rFonts w:hint="eastAsia" w:ascii="宋体" w:hAnsi="宋体"/>
          <w:sz w:val="24"/>
          <w:szCs w:val="24"/>
        </w:rPr>
        <w:t xml:space="preserve">    实训室项目验收合格后14个工作日内支付95%合同金额，剩余5%以质保金形式在验收合格后90个自然日后支付。</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r>
      <w:rPr>
        <w:rFonts w:hint="eastAsia"/>
        <w:b/>
        <w:sz w:val="24"/>
        <w:szCs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E1FE58"/>
    <w:multiLevelType w:val="singleLevel"/>
    <w:tmpl w:val="FEE1FE58"/>
    <w:lvl w:ilvl="0" w:tentative="0">
      <w:start w:val="5"/>
      <w:numFmt w:val="chineseCounting"/>
      <w:suff w:val="nothing"/>
      <w:lvlText w:val="%1、"/>
      <w:lvlJc w:val="left"/>
      <w:rPr>
        <w:rFonts w:hint="eastAsia"/>
      </w:rPr>
    </w:lvl>
  </w:abstractNum>
  <w:abstractNum w:abstractNumId="1">
    <w:nsid w:val="0D005FDE"/>
    <w:multiLevelType w:val="multilevel"/>
    <w:tmpl w:val="0D005FDE"/>
    <w:lvl w:ilvl="0" w:tentative="0">
      <w:start w:val="1"/>
      <w:numFmt w:val="none"/>
      <w:lvlText w:val="一、"/>
      <w:lvlJc w:val="left"/>
      <w:pPr>
        <w:ind w:left="510" w:hanging="51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ED8ED90"/>
    <w:multiLevelType w:val="singleLevel"/>
    <w:tmpl w:val="0ED8ED90"/>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1A"/>
    <w:rsid w:val="005B789C"/>
    <w:rsid w:val="00686569"/>
    <w:rsid w:val="00787721"/>
    <w:rsid w:val="00787A4B"/>
    <w:rsid w:val="00A4369A"/>
    <w:rsid w:val="00AC5DB8"/>
    <w:rsid w:val="00B5207C"/>
    <w:rsid w:val="00C7081A"/>
    <w:rsid w:val="00CE7531"/>
    <w:rsid w:val="00D816D4"/>
    <w:rsid w:val="00DA1CA7"/>
    <w:rsid w:val="00FD2B36"/>
    <w:rsid w:val="040C0DD5"/>
    <w:rsid w:val="45346CE1"/>
    <w:rsid w:val="579B468F"/>
    <w:rsid w:val="63157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7"/>
    <w:unhideWhenUsed/>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3"/>
    <w:qFormat/>
    <w:uiPriority w:val="99"/>
    <w:rPr>
      <w:rFonts w:ascii="Calibri" w:hAnsi="Calibri" w:eastAsia="宋体" w:cs="Times New Roman"/>
      <w:sz w:val="18"/>
      <w:szCs w:val="18"/>
    </w:rPr>
  </w:style>
  <w:style w:type="paragraph" w:styleId="8">
    <w:name w:val="List Paragraph"/>
    <w:basedOn w:val="1"/>
    <w:qFormat/>
    <w:uiPriority w:val="34"/>
    <w:pPr>
      <w:ind w:firstLine="420" w:firstLineChars="200"/>
    </w:pPr>
  </w:style>
  <w:style w:type="paragraph" w:customStyle="1" w:styleId="9">
    <w:name w:val="标准正文1"/>
    <w:basedOn w:val="1"/>
    <w:qFormat/>
    <w:uiPriority w:val="0"/>
    <w:pPr>
      <w:spacing w:beforeLines="30" w:line="288" w:lineRule="auto"/>
      <w:ind w:firstLine="420" w:firstLineChars="200"/>
    </w:pPr>
    <w:rPr>
      <w:rFonts w:ascii="Times New Roman" w:hAnsi="Times New Roman" w:cs="宋体"/>
      <w:szCs w:val="20"/>
    </w:rPr>
  </w:style>
  <w:style w:type="paragraph" w:customStyle="1" w:styleId="10">
    <w:name w:val="插图"/>
    <w:basedOn w:val="1"/>
    <w:qFormat/>
    <w:uiPriority w:val="0"/>
    <w:pPr>
      <w:spacing w:before="60" w:after="60"/>
      <w:jc w:val="center"/>
    </w:pPr>
    <w:rPr>
      <w:rFonts w:ascii="Times New Roman" w:hAnsi="Times New Roman"/>
      <w:szCs w:val="20"/>
    </w:rPr>
  </w:style>
  <w:style w:type="paragraph" w:customStyle="1" w:styleId="11">
    <w:name w:val="p0"/>
    <w:basedOn w:val="1"/>
    <w:qFormat/>
    <w:uiPriority w:val="99"/>
    <w:pPr>
      <w:widowControl/>
    </w:pPr>
    <w:rPr>
      <w:rFonts w:ascii="Times New Roman" w:hAnsi="Times New Roman"/>
      <w:kern w:val="0"/>
      <w:szCs w:val="21"/>
    </w:rPr>
  </w:style>
  <w:style w:type="character" w:customStyle="1" w:styleId="12">
    <w:name w:val="批注框文本 Char"/>
    <w:basedOn w:val="6"/>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324</Words>
  <Characters>1852</Characters>
  <Lines>15</Lines>
  <Paragraphs>4</Paragraphs>
  <TotalTime>46</TotalTime>
  <ScaleCrop>false</ScaleCrop>
  <LinksUpToDate>false</LinksUpToDate>
  <CharactersWithSpaces>2172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2020-02-14T07:52:00Z</dcterms:created>
  <dc:creator>吴晓熙</dc:creator>
  <cp:lastModifiedBy>wu</cp:lastModifiedBy>
  <dcterms:modified xsi:type="dcterms:W3CDTF">2020-02-26T07:28:56Z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